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CA1D" w14:textId="77777777" w:rsidR="0075145E" w:rsidRPr="00413E43" w:rsidRDefault="0075145E" w:rsidP="0075145E">
      <w:pPr>
        <w:spacing w:after="0" w:line="360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413E43">
        <w:rPr>
          <w:rFonts w:ascii="Arial" w:hAnsi="Arial" w:cs="Arial"/>
          <w:b/>
          <w:caps/>
          <w:color w:val="000000" w:themeColor="text1"/>
          <w:sz w:val="22"/>
          <w:szCs w:val="22"/>
        </w:rPr>
        <w:t>Goldbeck</w:t>
      </w:r>
      <w:r w:rsidRPr="00413E43">
        <w:rPr>
          <w:rFonts w:ascii="Arial" w:hAnsi="Arial" w:cs="Arial"/>
          <w:b/>
          <w:color w:val="000000" w:themeColor="text1"/>
          <w:sz w:val="22"/>
          <w:szCs w:val="22"/>
        </w:rPr>
        <w:t xml:space="preserve"> GmbH</w:t>
      </w:r>
    </w:p>
    <w:p w14:paraId="458B9DAA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413E43">
        <w:rPr>
          <w:rFonts w:ascii="Arial" w:hAnsi="Arial" w:cs="Arial"/>
          <w:color w:val="000000" w:themeColor="text1"/>
          <w:sz w:val="20"/>
          <w:szCs w:val="20"/>
          <w:lang w:val="vi-VN"/>
        </w:rPr>
        <w:t>Ummelner Straße 4-6</w:t>
      </w:r>
    </w:p>
    <w:p w14:paraId="182C6897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413E43">
        <w:rPr>
          <w:rFonts w:ascii="Arial" w:hAnsi="Arial" w:cs="Arial"/>
          <w:color w:val="000000" w:themeColor="text1"/>
          <w:sz w:val="20"/>
          <w:szCs w:val="20"/>
          <w:lang w:val="vi-VN"/>
        </w:rPr>
        <w:t>33649 Bielefeld</w:t>
      </w:r>
    </w:p>
    <w:p w14:paraId="7AB5168F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413E43">
        <w:rPr>
          <w:rFonts w:ascii="Arial" w:hAnsi="Arial" w:cs="Arial"/>
          <w:color w:val="000000" w:themeColor="text1"/>
          <w:sz w:val="20"/>
          <w:szCs w:val="20"/>
          <w:lang w:val="vi-VN"/>
        </w:rPr>
        <w:t>Tel.: +49 521 9488-118</w:t>
      </w:r>
      <w:r w:rsidRPr="00413E43">
        <w:rPr>
          <w:rFonts w:ascii="Arial" w:hAnsi="Arial" w:cs="Arial"/>
          <w:color w:val="000000" w:themeColor="text1"/>
          <w:sz w:val="20"/>
          <w:szCs w:val="20"/>
        </w:rPr>
        <w:t>7</w:t>
      </w:r>
    </w:p>
    <w:p w14:paraId="102F6483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</w:p>
    <w:p w14:paraId="052FB31C" w14:textId="77777777" w:rsidR="0075145E" w:rsidRPr="00413E43" w:rsidRDefault="000C4AB6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  <w:hyperlink r:id="rId12" w:history="1">
        <w:r w:rsidR="0075145E" w:rsidRPr="00413E43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vi-VN"/>
          </w:rPr>
          <w:t>presse@goldbeck.de</w:t>
        </w:r>
      </w:hyperlink>
    </w:p>
    <w:p w14:paraId="11F6F185" w14:textId="39DCFD19" w:rsidR="0075145E" w:rsidRDefault="000C4AB6" w:rsidP="0075145E">
      <w:pPr>
        <w:autoSpaceDE w:val="0"/>
        <w:autoSpaceDN w:val="0"/>
        <w:adjustRightInd w:val="0"/>
        <w:jc w:val="right"/>
        <w:rPr>
          <w:rStyle w:val="Hyperlink"/>
          <w:rFonts w:ascii="Arial" w:hAnsi="Arial" w:cs="Arial"/>
          <w:color w:val="000000" w:themeColor="text1"/>
          <w:sz w:val="20"/>
          <w:szCs w:val="20"/>
          <w:lang w:val="vi-VN"/>
        </w:rPr>
      </w:pPr>
      <w:hyperlink r:id="rId13" w:history="1">
        <w:r w:rsidR="0075145E" w:rsidRPr="00413E43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vi-VN"/>
          </w:rPr>
          <w:t>www.goldbeck.de</w:t>
        </w:r>
      </w:hyperlink>
    </w:p>
    <w:p w14:paraId="3CC2E70C" w14:textId="00521E6B" w:rsidR="001C68B3" w:rsidRDefault="001C68B3" w:rsidP="0DE63130">
      <w:pPr>
        <w:jc w:val="right"/>
        <w:rPr>
          <w:rFonts w:eastAsiaTheme="minorEastAsia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1C2695B2" wp14:editId="22D7B3A3">
            <wp:extent cx="207010" cy="207010"/>
            <wp:effectExtent l="0" t="0" r="2540" b="2540"/>
            <wp:docPr id="6" name="Grafi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DD065C" wp14:editId="13E97B22">
            <wp:extent cx="207010" cy="207010"/>
            <wp:effectExtent l="0" t="0" r="2540" b="2540"/>
            <wp:docPr id="5" name="Grafik 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CED87A" wp14:editId="47CA9D0F">
            <wp:extent cx="207010" cy="207010"/>
            <wp:effectExtent l="0" t="0" r="2540" b="2540"/>
            <wp:docPr id="4" name="Grafik 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ECAF7F" wp14:editId="4206112B">
            <wp:extent cx="207010" cy="207010"/>
            <wp:effectExtent l="0" t="0" r="2540" b="2540"/>
            <wp:docPr id="2" name="Grafik 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9BFDFE" wp14:editId="7A9D4FDD">
            <wp:extent cx="208800" cy="208800"/>
            <wp:effectExtent l="0" t="0" r="1270" b="1270"/>
            <wp:docPr id="8" name="Grafik 8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2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C4592" w14:textId="144F7CDF" w:rsidR="0075145E" w:rsidRDefault="0075145E" w:rsidP="0075145E">
      <w:pPr>
        <w:tabs>
          <w:tab w:val="left" w:pos="7230"/>
        </w:tabs>
        <w:spacing w:after="120" w:line="360" w:lineRule="auto"/>
        <w:ind w:right="-108"/>
        <w:jc w:val="right"/>
        <w:rPr>
          <w:rFonts w:ascii="Arial" w:hAnsi="Arial" w:cs="Arial"/>
          <w:b/>
          <w:color w:val="000000" w:themeColor="text1"/>
          <w:sz w:val="8"/>
          <w:szCs w:val="8"/>
          <w:lang w:val="vi-VN"/>
        </w:rPr>
      </w:pPr>
    </w:p>
    <w:p w14:paraId="48762671" w14:textId="77777777" w:rsidR="001C68B3" w:rsidRDefault="001C68B3" w:rsidP="0075145E">
      <w:pPr>
        <w:tabs>
          <w:tab w:val="left" w:pos="7230"/>
        </w:tabs>
        <w:spacing w:after="120" w:line="360" w:lineRule="auto"/>
        <w:ind w:right="-108"/>
        <w:jc w:val="right"/>
        <w:rPr>
          <w:rFonts w:ascii="Arial" w:hAnsi="Arial" w:cs="Arial"/>
          <w:b/>
          <w:color w:val="000000" w:themeColor="text1"/>
          <w:sz w:val="8"/>
          <w:szCs w:val="8"/>
          <w:lang w:val="vi-VN"/>
        </w:rPr>
      </w:pPr>
    </w:p>
    <w:p w14:paraId="0B25CC1B" w14:textId="6D691FD3" w:rsidR="0075145E" w:rsidRPr="00413E43" w:rsidRDefault="0075145E" w:rsidP="41A8BE7F">
      <w:pPr>
        <w:tabs>
          <w:tab w:val="left" w:pos="7230"/>
        </w:tabs>
        <w:spacing w:after="120" w:line="360" w:lineRule="auto"/>
        <w:jc w:val="right"/>
        <w:rPr>
          <w:rFonts w:ascii="Arial" w:hAnsi="Arial" w:cs="Arial"/>
          <w:b/>
          <w:bCs/>
          <w:color w:val="000000" w:themeColor="text1"/>
        </w:rPr>
      </w:pPr>
      <w:r w:rsidRPr="6E144D40">
        <w:rPr>
          <w:rFonts w:ascii="Arial" w:hAnsi="Arial" w:cs="Arial"/>
          <w:b/>
          <w:bCs/>
          <w:color w:val="000000" w:themeColor="text1"/>
        </w:rPr>
        <w:t xml:space="preserve">Stand </w:t>
      </w:r>
      <w:r w:rsidR="316F06BD" w:rsidRPr="6E144D40">
        <w:rPr>
          <w:rFonts w:ascii="Arial" w:hAnsi="Arial" w:cs="Arial"/>
          <w:b/>
          <w:bCs/>
          <w:color w:val="000000" w:themeColor="text1"/>
        </w:rPr>
        <w:t xml:space="preserve">September </w:t>
      </w:r>
      <w:r w:rsidRPr="6E144D40">
        <w:rPr>
          <w:rFonts w:ascii="Arial" w:hAnsi="Arial" w:cs="Arial"/>
          <w:b/>
          <w:bCs/>
          <w:color w:val="000000" w:themeColor="text1"/>
        </w:rPr>
        <w:t>202</w:t>
      </w:r>
      <w:r w:rsidR="70DBAE15" w:rsidRPr="6E144D40">
        <w:rPr>
          <w:rFonts w:ascii="Arial" w:hAnsi="Arial" w:cs="Arial"/>
          <w:b/>
          <w:bCs/>
          <w:color w:val="000000" w:themeColor="text1"/>
        </w:rPr>
        <w:t>4</w:t>
      </w:r>
    </w:p>
    <w:p w14:paraId="3D166F17" w14:textId="77777777" w:rsidR="00B40F9F" w:rsidRPr="00B40F9F" w:rsidRDefault="00B40F9F" w:rsidP="00B40F9F">
      <w:pPr>
        <w:autoSpaceDE w:val="0"/>
        <w:autoSpaceDN w:val="0"/>
        <w:adjustRightInd w:val="0"/>
        <w:spacing w:line="360" w:lineRule="auto"/>
        <w:ind w:right="141"/>
        <w:jc w:val="right"/>
        <w:rPr>
          <w:rFonts w:ascii="Arial" w:hAnsi="Arial" w:cs="Arial"/>
          <w:bCs/>
          <w:color w:val="000000" w:themeColor="text1"/>
          <w:sz w:val="20"/>
          <w:szCs w:val="20"/>
          <w:lang w:val="vi-VN"/>
        </w:rPr>
      </w:pPr>
    </w:p>
    <w:p w14:paraId="6961D5FC" w14:textId="30368E83" w:rsidR="00083947" w:rsidRPr="00FC3211" w:rsidRDefault="00756ABE" w:rsidP="00B40F9F">
      <w:pPr>
        <w:pStyle w:val="PIText"/>
        <w:ind w:right="141"/>
        <w:jc w:val="left"/>
        <w:rPr>
          <w:rFonts w:ascii="Arial" w:hAnsi="Arial" w:cs="Arial"/>
          <w:b/>
          <w:color w:val="000000" w:themeColor="text1"/>
          <w:sz w:val="24"/>
        </w:rPr>
      </w:pPr>
      <w:r w:rsidRPr="00FC3211">
        <w:rPr>
          <w:rFonts w:ascii="Arial" w:hAnsi="Arial" w:cs="Arial"/>
          <w:b/>
          <w:color w:val="000000" w:themeColor="text1"/>
          <w:sz w:val="48"/>
          <w:szCs w:val="48"/>
        </w:rPr>
        <w:t>GOLDBECK</w:t>
      </w:r>
      <w:r>
        <w:rPr>
          <w:rFonts w:ascii="Arial" w:hAnsi="Arial" w:cs="Arial"/>
          <w:b/>
          <w:color w:val="000000" w:themeColor="text1"/>
          <w:sz w:val="48"/>
          <w:szCs w:val="48"/>
        </w:rPr>
        <w:t xml:space="preserve"> </w:t>
      </w:r>
      <w:r w:rsidR="0075145E">
        <w:rPr>
          <w:rFonts w:ascii="Arial" w:hAnsi="Arial" w:cs="Arial"/>
          <w:b/>
          <w:color w:val="000000" w:themeColor="text1"/>
          <w:sz w:val="48"/>
          <w:szCs w:val="48"/>
        </w:rPr>
        <w:t>Unternehmensportrait</w:t>
      </w:r>
      <w:r w:rsidR="00FC3211" w:rsidRPr="00FC3211">
        <w:rPr>
          <w:rFonts w:ascii="Arial" w:hAnsi="Arial" w:cs="Arial"/>
          <w:b/>
          <w:color w:val="000000" w:themeColor="text1"/>
          <w:sz w:val="48"/>
          <w:szCs w:val="48"/>
        </w:rPr>
        <w:t xml:space="preserve"> </w:t>
      </w:r>
    </w:p>
    <w:p w14:paraId="76A99987" w14:textId="1901A31B" w:rsidR="00DE0184" w:rsidRPr="001E0CB8" w:rsidRDefault="00B40F9F" w:rsidP="0DE63130">
      <w:pPr>
        <w:pStyle w:val="PIText"/>
        <w:spacing w:line="276" w:lineRule="auto"/>
        <w:ind w:right="141"/>
        <w:rPr>
          <w:rFonts w:ascii="Arial" w:hAnsi="Arial" w:cs="Arial"/>
          <w:b/>
          <w:bCs/>
          <w:color w:val="00A7E7"/>
          <w:sz w:val="20"/>
          <w:szCs w:val="20"/>
        </w:rPr>
      </w:pPr>
      <w:r w:rsidRPr="0DE63130">
        <w:rPr>
          <w:rFonts w:ascii="Arial" w:hAnsi="Arial" w:cs="Arial"/>
          <w:color w:val="00A7E7"/>
          <w:sz w:val="20"/>
          <w:szCs w:val="20"/>
        </w:rPr>
        <w:t xml:space="preserve">. </w:t>
      </w:r>
    </w:p>
    <w:p w14:paraId="0252CF01" w14:textId="078C7EDB" w:rsidR="00B40F9F" w:rsidRPr="001E0CB8" w:rsidRDefault="00B40F9F" w:rsidP="00B40F9F">
      <w:pPr>
        <w:pStyle w:val="PIText"/>
        <w:spacing w:before="240"/>
        <w:ind w:right="141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0E3E59B" w14:textId="1E0FF0A9" w:rsidR="0075145E" w:rsidRPr="006D70B3" w:rsidRDefault="349C8BAC" w:rsidP="30B65742">
      <w:pPr>
        <w:spacing w:line="360" w:lineRule="auto"/>
        <w:jc w:val="both"/>
        <w:rPr>
          <w:rFonts w:ascii="Verdana" w:hAnsi="Verdana"/>
          <w:sz w:val="20"/>
          <w:szCs w:val="20"/>
          <w:lang w:val="de"/>
        </w:rPr>
      </w:pPr>
      <w:r w:rsidRPr="0DE63130">
        <w:rPr>
          <w:rFonts w:ascii="Verdana" w:hAnsi="Verdana"/>
          <w:sz w:val="20"/>
          <w:szCs w:val="20"/>
          <w:lang w:val="de"/>
        </w:rPr>
        <w:t xml:space="preserve">GOLDBECK realisiert zukunftsweisende </w:t>
      </w:r>
      <w:r w:rsidR="6C2B3413" w:rsidRPr="0DE63130">
        <w:rPr>
          <w:rFonts w:ascii="Verdana" w:hAnsi="Verdana"/>
          <w:sz w:val="20"/>
          <w:szCs w:val="20"/>
          <w:lang w:val="de"/>
        </w:rPr>
        <w:t>I</w:t>
      </w:r>
      <w:r w:rsidRPr="0DE63130">
        <w:rPr>
          <w:rFonts w:ascii="Verdana" w:hAnsi="Verdana"/>
          <w:sz w:val="20"/>
          <w:szCs w:val="20"/>
          <w:lang w:val="de"/>
        </w:rPr>
        <w:t>mmobilien in Europa. Das Unternehmen versteht Gebäude als Produkte und bietet seinen Kunden alle Leistungen aus einer Hand: vom Design über den Bau bis zu Serviceleistungen während des Betriebs.</w:t>
      </w:r>
    </w:p>
    <w:p w14:paraId="0221EDCF" w14:textId="3A417FB3" w:rsidR="0075145E" w:rsidRPr="006D70B3" w:rsidRDefault="0075145E" w:rsidP="30B65742">
      <w:pPr>
        <w:spacing w:line="360" w:lineRule="auto"/>
        <w:jc w:val="both"/>
      </w:pPr>
      <w:r w:rsidRPr="3E4CD772">
        <w:rPr>
          <w:rFonts w:ascii="Verdana" w:hAnsi="Verdana"/>
          <w:sz w:val="20"/>
          <w:szCs w:val="20"/>
        </w:rPr>
        <w:t xml:space="preserve">Mit dem Anspruch „building excellence“ verwirklicht das </w:t>
      </w:r>
      <w:r w:rsidR="006D70B3" w:rsidRPr="3E4CD772">
        <w:rPr>
          <w:rFonts w:ascii="Verdana" w:hAnsi="Verdana"/>
          <w:sz w:val="20"/>
          <w:szCs w:val="20"/>
        </w:rPr>
        <w:t>U</w:t>
      </w:r>
      <w:r w:rsidRPr="3E4CD772">
        <w:rPr>
          <w:rFonts w:ascii="Verdana" w:hAnsi="Verdana"/>
          <w:sz w:val="20"/>
          <w:szCs w:val="20"/>
        </w:rPr>
        <w:t xml:space="preserve">nternehmen Immobilien wirtschaftlich, schnell und </w:t>
      </w:r>
      <w:r w:rsidR="7058969E" w:rsidRPr="3E4CD772">
        <w:rPr>
          <w:rFonts w:ascii="Verdana" w:hAnsi="Verdana"/>
          <w:sz w:val="20"/>
          <w:szCs w:val="20"/>
        </w:rPr>
        <w:t>nachhaltig</w:t>
      </w:r>
      <w:r w:rsidRPr="3E4CD772">
        <w:rPr>
          <w:rFonts w:ascii="Verdana" w:hAnsi="Verdana"/>
          <w:sz w:val="20"/>
          <w:szCs w:val="20"/>
        </w:rPr>
        <w:t xml:space="preserve"> bei passgenauer Funktionalität.</w:t>
      </w:r>
      <w:r w:rsidR="006D70B3" w:rsidRPr="3E4CD772">
        <w:rPr>
          <w:sz w:val="22"/>
          <w:szCs w:val="22"/>
        </w:rPr>
        <w:t xml:space="preserve"> </w:t>
      </w:r>
      <w:r w:rsidR="006D70B3" w:rsidRPr="3E4CD772">
        <w:rPr>
          <w:rFonts w:ascii="Verdana" w:hAnsi="Verdana"/>
          <w:sz w:val="20"/>
          <w:szCs w:val="20"/>
        </w:rPr>
        <w:t>Ganzheitliche Planungskompetenz, die eigene industrielle Vorfertigung sowie führende Technologien sind die Erfolgsfaktoren für GOLDBECKs elementiertes Bauen mit System. Menschlichkeit, Verantwortung</w:t>
      </w:r>
      <w:r w:rsidR="00792BE3">
        <w:rPr>
          <w:rFonts w:ascii="Verdana" w:hAnsi="Verdana"/>
          <w:sz w:val="20"/>
          <w:szCs w:val="20"/>
        </w:rPr>
        <w:t>,</w:t>
      </w:r>
      <w:r w:rsidR="006D70B3" w:rsidRPr="3E4CD772">
        <w:rPr>
          <w:rFonts w:ascii="Verdana" w:hAnsi="Verdana"/>
          <w:sz w:val="20"/>
          <w:szCs w:val="20"/>
        </w:rPr>
        <w:t xml:space="preserve"> Leistung</w:t>
      </w:r>
      <w:r w:rsidR="000C4AB6">
        <w:rPr>
          <w:rFonts w:ascii="Verdana" w:hAnsi="Verdana"/>
          <w:sz w:val="20"/>
          <w:szCs w:val="20"/>
        </w:rPr>
        <w:t>, Vertrauen und Pioniergeist</w:t>
      </w:r>
      <w:r w:rsidR="006D70B3" w:rsidRPr="3E4CD772">
        <w:rPr>
          <w:rFonts w:ascii="Verdana" w:hAnsi="Verdana"/>
          <w:sz w:val="20"/>
          <w:szCs w:val="20"/>
        </w:rPr>
        <w:t xml:space="preserve"> bilden die Wertebasis des Familienunternehmens. Lösungsorientierte GOLDBECKer</w:t>
      </w:r>
      <w:r w:rsidR="001C68B3" w:rsidRPr="3E4CD772">
        <w:rPr>
          <w:rFonts w:ascii="Verdana" w:hAnsi="Verdana"/>
          <w:sz w:val="20"/>
          <w:szCs w:val="20"/>
        </w:rPr>
        <w:t>innen und GOLDBECKer</w:t>
      </w:r>
      <w:r w:rsidR="006D70B3" w:rsidRPr="3E4CD772">
        <w:rPr>
          <w:rFonts w:ascii="Verdana" w:hAnsi="Verdana"/>
          <w:sz w:val="20"/>
          <w:szCs w:val="20"/>
        </w:rPr>
        <w:t xml:space="preserve"> begleiten Kunden in regionalen Niederlassungen und handeln als Unternehmer vor Ort. Mit der Erfahrung aus </w:t>
      </w:r>
      <w:r w:rsidR="482ECD16" w:rsidRPr="3E4CD772">
        <w:rPr>
          <w:rFonts w:ascii="Verdana" w:hAnsi="Verdana"/>
          <w:sz w:val="20"/>
          <w:szCs w:val="20"/>
        </w:rPr>
        <w:t xml:space="preserve">über </w:t>
      </w:r>
      <w:r w:rsidR="006D70B3" w:rsidRPr="3E4CD772">
        <w:rPr>
          <w:rFonts w:ascii="Verdana" w:hAnsi="Verdana"/>
          <w:sz w:val="20"/>
          <w:szCs w:val="20"/>
        </w:rPr>
        <w:t>1</w:t>
      </w:r>
      <w:r w:rsidR="4DEC3421" w:rsidRPr="3E4CD772">
        <w:rPr>
          <w:rFonts w:ascii="Verdana" w:hAnsi="Verdana"/>
          <w:sz w:val="20"/>
          <w:szCs w:val="20"/>
        </w:rPr>
        <w:t>2</w:t>
      </w:r>
      <w:r w:rsidR="006D70B3" w:rsidRPr="3E4CD772">
        <w:rPr>
          <w:rFonts w:ascii="Verdana" w:hAnsi="Verdana"/>
          <w:sz w:val="20"/>
          <w:szCs w:val="20"/>
        </w:rPr>
        <w:t>.000 Projekten, Innovationsstärke und als Treiber der Digitalisierung stellt GOLDBECK sicher, dass die Produkte während der Nutzung optimal funktionieren – Zukunftsfähigkeit inklusive.</w:t>
      </w:r>
    </w:p>
    <w:p w14:paraId="4336E694" w14:textId="32FCDFCC" w:rsidR="0075145E" w:rsidRDefault="0075145E" w:rsidP="003C414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5518027C">
        <w:rPr>
          <w:rFonts w:ascii="Verdana" w:hAnsi="Verdana"/>
          <w:sz w:val="20"/>
          <w:szCs w:val="20"/>
        </w:rPr>
        <w:t xml:space="preserve">GOLDBECK ist Partner für die mittelständische Wirtschaft und Großunternehmen, Investoren, Projektentwickler sowie öffentliche </w:t>
      </w:r>
      <w:r w:rsidR="008147F9" w:rsidRPr="5518027C">
        <w:rPr>
          <w:rFonts w:ascii="Verdana" w:hAnsi="Verdana"/>
          <w:sz w:val="20"/>
          <w:szCs w:val="20"/>
        </w:rPr>
        <w:t>Auftraggeber</w:t>
      </w:r>
      <w:r w:rsidRPr="5518027C">
        <w:rPr>
          <w:rFonts w:ascii="Verdana" w:hAnsi="Verdana"/>
          <w:sz w:val="20"/>
          <w:szCs w:val="20"/>
        </w:rPr>
        <w:t xml:space="preserve">. Zum Leistungsangebot gehören Logistik- und Industriehallen, Büro- und Schulgebäude, Parkhäuser und Wohngebäude. Bauen im Bestand sowie gebäudenahe Serviceleistungen vervollständigen das Spektrum. </w:t>
      </w:r>
      <w:r w:rsidR="35C9358F" w:rsidRPr="5518027C">
        <w:rPr>
          <w:rFonts w:ascii="Verdana" w:hAnsi="Verdana"/>
          <w:sz w:val="20"/>
          <w:szCs w:val="20"/>
        </w:rPr>
        <w:t>Das Unternehmen realisierte im Geschäftsjahr 202</w:t>
      </w:r>
      <w:r w:rsidR="1B1122D0" w:rsidRPr="5518027C">
        <w:rPr>
          <w:rFonts w:ascii="Verdana" w:hAnsi="Verdana"/>
          <w:sz w:val="20"/>
          <w:szCs w:val="20"/>
        </w:rPr>
        <w:t>3</w:t>
      </w:r>
      <w:r w:rsidR="35C9358F" w:rsidRPr="5518027C">
        <w:rPr>
          <w:rFonts w:ascii="Verdana" w:hAnsi="Verdana"/>
          <w:sz w:val="20"/>
          <w:szCs w:val="20"/>
        </w:rPr>
        <w:t>/202</w:t>
      </w:r>
      <w:r w:rsidR="06928CE0" w:rsidRPr="5518027C">
        <w:rPr>
          <w:rFonts w:ascii="Verdana" w:hAnsi="Verdana"/>
          <w:sz w:val="20"/>
          <w:szCs w:val="20"/>
        </w:rPr>
        <w:t>4</w:t>
      </w:r>
      <w:r w:rsidR="35C9358F" w:rsidRPr="5518027C">
        <w:rPr>
          <w:rFonts w:ascii="Verdana" w:hAnsi="Verdana"/>
          <w:sz w:val="20"/>
          <w:szCs w:val="20"/>
        </w:rPr>
        <w:t xml:space="preserve"> </w:t>
      </w:r>
      <w:r w:rsidR="410AD7BA" w:rsidRPr="5518027C">
        <w:rPr>
          <w:rFonts w:ascii="Verdana" w:hAnsi="Verdana"/>
          <w:sz w:val="20"/>
          <w:szCs w:val="20"/>
        </w:rPr>
        <w:t>5</w:t>
      </w:r>
      <w:r w:rsidR="6B4E799F" w:rsidRPr="5518027C">
        <w:rPr>
          <w:rFonts w:ascii="Verdana" w:hAnsi="Verdana"/>
          <w:sz w:val="20"/>
          <w:szCs w:val="20"/>
        </w:rPr>
        <w:t>10</w:t>
      </w:r>
      <w:r w:rsidR="35C9358F" w:rsidRPr="5518027C">
        <w:rPr>
          <w:rFonts w:ascii="Verdana" w:hAnsi="Verdana"/>
          <w:sz w:val="20"/>
          <w:szCs w:val="20"/>
        </w:rPr>
        <w:t xml:space="preserve"> Projekte bei einer Gesamtleistung von </w:t>
      </w:r>
      <w:r w:rsidR="4417B5D3" w:rsidRPr="5518027C">
        <w:rPr>
          <w:rFonts w:ascii="Verdana" w:hAnsi="Verdana"/>
          <w:sz w:val="20"/>
          <w:szCs w:val="20"/>
        </w:rPr>
        <w:t>6,</w:t>
      </w:r>
      <w:r w:rsidR="29992316" w:rsidRPr="5518027C">
        <w:rPr>
          <w:rFonts w:ascii="Verdana" w:hAnsi="Verdana"/>
          <w:sz w:val="20"/>
          <w:szCs w:val="20"/>
        </w:rPr>
        <w:t>4</w:t>
      </w:r>
      <w:r w:rsidR="35C9358F" w:rsidRPr="5518027C">
        <w:rPr>
          <w:rFonts w:ascii="Verdana" w:hAnsi="Verdana"/>
          <w:sz w:val="20"/>
          <w:szCs w:val="20"/>
        </w:rPr>
        <w:t xml:space="preserve">Mrd. Euro. Aktuell beschäftigt GOLDBECK </w:t>
      </w:r>
      <w:r w:rsidR="09EEDCE1" w:rsidRPr="5518027C">
        <w:rPr>
          <w:rFonts w:ascii="Verdana" w:hAnsi="Verdana"/>
          <w:sz w:val="20"/>
          <w:szCs w:val="20"/>
        </w:rPr>
        <w:t xml:space="preserve">mehr als </w:t>
      </w:r>
      <w:r w:rsidR="35C9358F" w:rsidRPr="5518027C">
        <w:rPr>
          <w:rFonts w:ascii="Verdana" w:hAnsi="Verdana"/>
          <w:sz w:val="20"/>
          <w:szCs w:val="20"/>
        </w:rPr>
        <w:t>1</w:t>
      </w:r>
      <w:r w:rsidR="3F3F70A7" w:rsidRPr="5518027C">
        <w:rPr>
          <w:rFonts w:ascii="Verdana" w:hAnsi="Verdana"/>
          <w:sz w:val="20"/>
          <w:szCs w:val="20"/>
        </w:rPr>
        <w:t>2</w:t>
      </w:r>
      <w:r w:rsidR="35C9358F" w:rsidRPr="5518027C">
        <w:rPr>
          <w:rFonts w:ascii="Verdana" w:hAnsi="Verdana"/>
          <w:sz w:val="20"/>
          <w:szCs w:val="20"/>
        </w:rPr>
        <w:t>.</w:t>
      </w:r>
      <w:r w:rsidR="4A1B4D41" w:rsidRPr="5518027C">
        <w:rPr>
          <w:rFonts w:ascii="Verdana" w:hAnsi="Verdana"/>
          <w:sz w:val="20"/>
          <w:szCs w:val="20"/>
        </w:rPr>
        <w:t>5</w:t>
      </w:r>
      <w:r w:rsidR="35C9358F" w:rsidRPr="5518027C">
        <w:rPr>
          <w:rFonts w:ascii="Verdana" w:hAnsi="Verdana"/>
          <w:sz w:val="20"/>
          <w:szCs w:val="20"/>
        </w:rPr>
        <w:t xml:space="preserve">00 Mitarbeitende an über </w:t>
      </w:r>
      <w:r w:rsidR="20AADFA0" w:rsidRPr="5518027C">
        <w:rPr>
          <w:rFonts w:ascii="Verdana" w:hAnsi="Verdana"/>
          <w:sz w:val="20"/>
          <w:szCs w:val="20"/>
        </w:rPr>
        <w:t>10</w:t>
      </w:r>
      <w:r w:rsidR="35C9358F" w:rsidRPr="5518027C">
        <w:rPr>
          <w:rFonts w:ascii="Verdana" w:hAnsi="Verdana"/>
          <w:sz w:val="20"/>
          <w:szCs w:val="20"/>
        </w:rPr>
        <w:t>0 Standorten in ganz Europa.</w:t>
      </w:r>
    </w:p>
    <w:p w14:paraId="409BCD2B" w14:textId="77777777" w:rsidR="001C68B3" w:rsidRPr="006D70B3" w:rsidRDefault="001C68B3" w:rsidP="001E0CB8">
      <w:pPr>
        <w:spacing w:line="360" w:lineRule="auto"/>
        <w:rPr>
          <w:rFonts w:ascii="Verdana" w:hAnsi="Verdana"/>
          <w:sz w:val="20"/>
          <w:szCs w:val="20"/>
        </w:rPr>
      </w:pPr>
    </w:p>
    <w:p w14:paraId="44081831" w14:textId="0091727B" w:rsidR="75CA73EC" w:rsidRDefault="75CA73EC" w:rsidP="75CA73EC">
      <w:pPr>
        <w:spacing w:line="360" w:lineRule="auto"/>
        <w:rPr>
          <w:rFonts w:ascii="Verdana" w:hAnsi="Verdana"/>
          <w:sz w:val="20"/>
          <w:szCs w:val="20"/>
        </w:rPr>
      </w:pPr>
    </w:p>
    <w:p w14:paraId="49042C1E" w14:textId="5056E42F" w:rsidR="0024769D" w:rsidRPr="006D70B3" w:rsidRDefault="0075145E" w:rsidP="5051FBAD">
      <w:pPr>
        <w:spacing w:line="360" w:lineRule="auto"/>
        <w:ind w:right="141"/>
        <w:rPr>
          <w:rStyle w:val="fontstyle01"/>
          <w:rFonts w:ascii="Verdana" w:hAnsi="Verdana" w:cs="Arial"/>
          <w:b/>
          <w:bCs/>
          <w:color w:val="000000" w:themeColor="text1"/>
          <w:sz w:val="22"/>
          <w:szCs w:val="22"/>
        </w:rPr>
      </w:pPr>
      <w:r w:rsidRPr="5051FBAD">
        <w:rPr>
          <w:rStyle w:val="fontstyle01"/>
          <w:rFonts w:ascii="Verdana" w:hAnsi="Verdana" w:cs="Arial"/>
          <w:b/>
          <w:bCs/>
          <w:color w:val="000000" w:themeColor="text1"/>
          <w:sz w:val="22"/>
          <w:szCs w:val="22"/>
        </w:rPr>
        <w:t>GOLDBECK in Zahlen</w:t>
      </w:r>
    </w:p>
    <w:p w14:paraId="3AB5D175" w14:textId="0FE8FDDE" w:rsidR="0075145E" w:rsidRPr="006D70B3" w:rsidRDefault="069979A9" w:rsidP="0DE63130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Über </w:t>
      </w:r>
      <w:r w:rsidR="05EFAA69"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10</w:t>
      </w:r>
      <w:r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0 </w:t>
      </w:r>
      <w:r w:rsidR="0075145E"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Standorte</w:t>
      </w:r>
      <w:r w:rsidR="0075145E" w:rsidRPr="42C1469F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in Deutschland und </w:t>
      </w:r>
      <w:r w:rsidR="0060650B" w:rsidRPr="42C1469F">
        <w:rPr>
          <w:rStyle w:val="fontstyle01"/>
          <w:rFonts w:ascii="Verdana" w:hAnsi="Verdana" w:cs="Arial"/>
          <w:color w:val="000000" w:themeColor="text1"/>
          <w:sz w:val="20"/>
          <w:szCs w:val="20"/>
        </w:rPr>
        <w:t>Europa</w:t>
      </w:r>
    </w:p>
    <w:p w14:paraId="57530CE8" w14:textId="42C6DA55" w:rsidR="0000092C" w:rsidRPr="006D70B3" w:rsidRDefault="6DC5D5C0" w:rsidP="0DE63130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Rund 100</w:t>
      </w:r>
      <w:r w:rsidR="3DA2C8C0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Niederlassungen und Geschäftsstellen </w:t>
      </w:r>
      <w:r w:rsidR="0077190D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inklusive </w:t>
      </w:r>
      <w:r w:rsidR="0000092C">
        <w:br/>
      </w:r>
      <w:r w:rsidR="7D94C6BD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4</w:t>
      </w:r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System</w:t>
      </w:r>
      <w:r w:rsidR="00D76978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Z</w:t>
      </w:r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entren</w:t>
      </w:r>
      <w:r w:rsidR="0000092C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in Bielefeld, Hirschberg</w:t>
      </w:r>
      <w:r w:rsidR="138DAD31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München</w:t>
      </w:r>
      <w:r w:rsidR="0000092C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und Leipzig</w:t>
      </w:r>
    </w:p>
    <w:p w14:paraId="6C313C4F" w14:textId="3B212AA9" w:rsidR="0075145E" w:rsidRPr="006D70B3" w:rsidRDefault="0075145E" w:rsidP="42C1469F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1</w:t>
      </w:r>
      <w:r w:rsidR="3B1873D5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5</w:t>
      </w:r>
      <w:r w:rsidR="32DE39A0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Werke</w:t>
      </w:r>
      <w:r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in Bielefeld, Hamm, Treuen, Ulm, </w:t>
      </w:r>
      <w:r w:rsidR="651C411B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Hobro (DK),</w:t>
      </w:r>
      <w:r w:rsidR="49549604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Genner (DK),</w:t>
      </w:r>
      <w:r w:rsidR="651C411B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Kutna Hora (CZ), Tovačov (CZ), Toruń (PL), Rakowice (PL) und Lodz (PL)</w:t>
      </w:r>
      <w:r w:rsidR="20F39812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. Ein weiteres Werk entsteht in Kirchberg. </w:t>
      </w:r>
    </w:p>
    <w:p w14:paraId="37E3957D" w14:textId="16E3AB60" w:rsidR="0075145E" w:rsidRPr="006D70B3" w:rsidRDefault="484780F1" w:rsidP="51984EBD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5518027C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Mehr als 12</w:t>
      </w:r>
      <w:r w:rsidR="0075145E" w:rsidRPr="5518027C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.</w:t>
      </w:r>
      <w:r w:rsidR="14A31990" w:rsidRPr="5518027C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5</w:t>
      </w:r>
      <w:r w:rsidR="0075145E" w:rsidRPr="5518027C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00</w:t>
      </w:r>
      <w:r w:rsidR="0075145E" w:rsidRPr="5518027C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5145E" w:rsidRPr="5518027C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Mitarbeite</w:t>
      </w:r>
      <w:r w:rsidR="0097094A" w:rsidRPr="5518027C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nde</w:t>
      </w:r>
    </w:p>
    <w:p w14:paraId="30EAC0BE" w14:textId="39B9ECAF" w:rsidR="0075145E" w:rsidRPr="006D70B3" w:rsidRDefault="6EAF5793" w:rsidP="0DE63130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6</w:t>
      </w:r>
      <w:r w:rsidR="5D151F4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,</w:t>
      </w:r>
      <w:r w:rsidR="34A68943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4</w:t>
      </w:r>
      <w:r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="0097094A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Mrd. Euro </w:t>
      </w:r>
      <w:r w:rsidR="0075145E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Gesamtleistung</w:t>
      </w:r>
      <w:r w:rsidR="0075145E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im Geschäftsjahr 20</w:t>
      </w:r>
      <w:r w:rsidR="51F80EDD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2</w:t>
      </w:r>
      <w:r w:rsidR="15B7BCCA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3</w:t>
      </w:r>
      <w:r w:rsidR="0075145E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/2</w:t>
      </w:r>
      <w:r w:rsidR="4BC2A85D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4</w:t>
      </w:r>
    </w:p>
    <w:p w14:paraId="3E726C0B" w14:textId="7942A306" w:rsidR="0097094A" w:rsidRPr="006D70B3" w:rsidRDefault="0097094A" w:rsidP="0000092C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Gründung des Familienunternehmens im Jahr</w:t>
      </w: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 xml:space="preserve"> 1969</w:t>
      </w:r>
      <w:r w:rsidR="0000092C"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in</w:t>
      </w: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 </w:t>
      </w: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Bielefeld</w:t>
      </w:r>
    </w:p>
    <w:p w14:paraId="0C75221B" w14:textId="5D0033B7" w:rsidR="0077190D" w:rsidRPr="006D70B3" w:rsidRDefault="0077190D" w:rsidP="0077190D">
      <w:pPr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</w:p>
    <w:p w14:paraId="6BCCCEF7" w14:textId="6D2C519E" w:rsidR="0077190D" w:rsidRPr="006D70B3" w:rsidRDefault="0077190D" w:rsidP="0077190D">
      <w:pPr>
        <w:spacing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2"/>
          <w:szCs w:val="22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2"/>
          <w:szCs w:val="22"/>
        </w:rPr>
        <w:t>Unternehmensbereiche</w:t>
      </w:r>
    </w:p>
    <w:p w14:paraId="58441342" w14:textId="6FCA4553" w:rsidR="0077190D" w:rsidRPr="006D70B3" w:rsidRDefault="00E954E8" w:rsidP="0077190D">
      <w:pPr>
        <w:pStyle w:val="Listenabsatz"/>
        <w:numPr>
          <w:ilvl w:val="0"/>
          <w:numId w:val="8"/>
        </w:numPr>
        <w:spacing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Schlüsselfertige</w:t>
      </w:r>
      <w:r w:rsidR="0077190D"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 xml:space="preserve"> Neubauten</w:t>
      </w:r>
    </w:p>
    <w:p w14:paraId="5B3C174F" w14:textId="6D6B79C5" w:rsidR="00AB4E8D" w:rsidRPr="006D70B3" w:rsidRDefault="00AB4E8D" w:rsidP="00215915">
      <w:pPr>
        <w:pStyle w:val="Listenabsatz"/>
        <w:spacing w:before="240"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Planung und Bau von Logistik- und Industriehallen, Büro- und Schulgebäude</w:t>
      </w:r>
      <w:r w:rsidR="00363C40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n</w:t>
      </w: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, Parkhäuser</w:t>
      </w:r>
      <w:r w:rsidR="00363C40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n</w:t>
      </w: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 und Wohngebäude</w:t>
      </w:r>
      <w:r w:rsidR="00363C40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n. Darüber hinaus </w:t>
      </w:r>
      <w:r w:rsidR="00CA15DA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übersetzt GOLDBECK besondere Anforderungen in besondere Gebäudekonzepte – </w:t>
      </w:r>
      <w:r w:rsidR="00245B4F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unter anderem mit Gebäuden für</w:t>
      </w:r>
      <w:r w:rsidR="00363C40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 </w:t>
      </w:r>
      <w:r w:rsidR="00CA15DA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Kindertagesstätten, Polizei- und Feuerwachen, Forschungs</w:t>
      </w:r>
      <w:r w:rsidR="00245B4F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- oder Sport</w:t>
      </w:r>
      <w:r w:rsidR="00CA15DA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einrichtungen</w:t>
      </w:r>
    </w:p>
    <w:p w14:paraId="23B7598B" w14:textId="77777777" w:rsidR="00CA15DA" w:rsidRPr="006D70B3" w:rsidRDefault="00CA15DA" w:rsidP="00215915">
      <w:pPr>
        <w:pStyle w:val="Listenabsatz"/>
        <w:numPr>
          <w:ilvl w:val="0"/>
          <w:numId w:val="8"/>
        </w:numPr>
        <w:spacing w:before="240"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Bauen im Bestand</w:t>
      </w:r>
    </w:p>
    <w:p w14:paraId="48188942" w14:textId="77251A9B" w:rsidR="00363C40" w:rsidRPr="006D70B3" w:rsidRDefault="0077190D" w:rsidP="00245B4F">
      <w:pPr>
        <w:pStyle w:val="Listenabsatz"/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Revitalis</w:t>
      </w:r>
      <w:r w:rsidR="00AB4E8D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i</w:t>
      </w: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erung von </w:t>
      </w:r>
      <w:r w:rsidR="00AB4E8D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Bestandsgebäuden</w:t>
      </w:r>
      <w:r w:rsidR="00CA15DA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 – von Instandset</w:t>
      </w:r>
      <w:r w:rsidR="00245B4F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z</w:t>
      </w:r>
      <w:r w:rsidR="00CA15DA"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ungen über Mieter-Um- und Ausbau bis zu Teil- oder Kernsanierungen</w:t>
      </w:r>
    </w:p>
    <w:p w14:paraId="5DE83364" w14:textId="657A99A1" w:rsidR="00AB4E8D" w:rsidRPr="006D70B3" w:rsidRDefault="00AB4E8D" w:rsidP="0077190D">
      <w:pPr>
        <w:pStyle w:val="Listenabsatz"/>
        <w:numPr>
          <w:ilvl w:val="0"/>
          <w:numId w:val="8"/>
        </w:numPr>
        <w:spacing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Gebäudenahe Serviceleistungen</w:t>
      </w:r>
    </w:p>
    <w:p w14:paraId="2B648FEE" w14:textId="13EA0377" w:rsidR="00245B4F" w:rsidRPr="006D70B3" w:rsidRDefault="00245B4F" w:rsidP="00245B4F">
      <w:pPr>
        <w:pStyle w:val="Listenabsatz"/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Property Services, Facility Services, Parking Services (Parkraumbewirtschaftung für öffentliche und private Kunden) und Öffentlich-Private Partnerschaften (Partner für den kommunalen Hochbau im ÖPP-Verfahren)</w:t>
      </w:r>
    </w:p>
    <w:sectPr w:rsidR="00245B4F" w:rsidRPr="006D70B3" w:rsidSect="001E0CB8">
      <w:headerReference w:type="default" r:id="rId24"/>
      <w:footerReference w:type="default" r:id="rId2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90D3A" w14:textId="77777777" w:rsidR="00AC4096" w:rsidRDefault="00AC4096" w:rsidP="00BE1819">
      <w:r>
        <w:separator/>
      </w:r>
    </w:p>
  </w:endnote>
  <w:endnote w:type="continuationSeparator" w:id="0">
    <w:p w14:paraId="110A5EE7" w14:textId="77777777" w:rsidR="00AC4096" w:rsidRDefault="00AC4096" w:rsidP="00BE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1A8BE7F" w14:paraId="3E3D5718" w14:textId="77777777" w:rsidTr="41A8BE7F">
      <w:tc>
        <w:tcPr>
          <w:tcW w:w="3020" w:type="dxa"/>
        </w:tcPr>
        <w:p w14:paraId="78B98704" w14:textId="52DB7729" w:rsidR="41A8BE7F" w:rsidRDefault="41A8BE7F" w:rsidP="41A8BE7F">
          <w:pPr>
            <w:pStyle w:val="Kopfzeile"/>
            <w:ind w:left="-115"/>
          </w:pPr>
        </w:p>
      </w:tc>
      <w:tc>
        <w:tcPr>
          <w:tcW w:w="3020" w:type="dxa"/>
        </w:tcPr>
        <w:p w14:paraId="32BBAEB6" w14:textId="6E79ECDB" w:rsidR="41A8BE7F" w:rsidRDefault="41A8BE7F" w:rsidP="41A8BE7F">
          <w:pPr>
            <w:pStyle w:val="Kopfzeile"/>
            <w:jc w:val="center"/>
          </w:pPr>
        </w:p>
      </w:tc>
      <w:tc>
        <w:tcPr>
          <w:tcW w:w="3020" w:type="dxa"/>
        </w:tcPr>
        <w:p w14:paraId="04821D37" w14:textId="5800145A" w:rsidR="41A8BE7F" w:rsidRDefault="41A8BE7F" w:rsidP="41A8BE7F">
          <w:pPr>
            <w:pStyle w:val="Kopfzeile"/>
            <w:ind w:right="-115"/>
            <w:jc w:val="right"/>
          </w:pPr>
        </w:p>
      </w:tc>
    </w:tr>
  </w:tbl>
  <w:p w14:paraId="67186B6E" w14:textId="0BC892CA" w:rsidR="41A8BE7F" w:rsidRDefault="41A8BE7F" w:rsidP="41A8BE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F41CD" w14:textId="77777777" w:rsidR="00AC4096" w:rsidRDefault="00AC4096" w:rsidP="00BE1819">
      <w:r>
        <w:separator/>
      </w:r>
    </w:p>
  </w:footnote>
  <w:footnote w:type="continuationSeparator" w:id="0">
    <w:p w14:paraId="1721107B" w14:textId="77777777" w:rsidR="00AC4096" w:rsidRDefault="00AC4096" w:rsidP="00BE1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2E106" w14:textId="4322EFA0" w:rsidR="00BE1819" w:rsidRDefault="3EF5FCD5" w:rsidP="00BE1819">
    <w:pPr>
      <w:pStyle w:val="Kopfzeile"/>
      <w:jc w:val="right"/>
    </w:pPr>
    <w:r>
      <w:rPr>
        <w:noProof/>
      </w:rPr>
      <w:drawing>
        <wp:inline distT="0" distB="0" distL="0" distR="0" wp14:anchorId="2592C3E9" wp14:editId="1108AA1D">
          <wp:extent cx="1943100" cy="190500"/>
          <wp:effectExtent l="0" t="0" r="0" b="0"/>
          <wp:docPr id="786155841" name="Grafik 786155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1819">
      <w:br/>
    </w:r>
  </w:p>
  <w:p w14:paraId="105FA93B" w14:textId="77777777" w:rsidR="0097629F" w:rsidRDefault="0097629F" w:rsidP="00BE181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D63A4"/>
    <w:multiLevelType w:val="hybridMultilevel"/>
    <w:tmpl w:val="311C7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B1618"/>
    <w:multiLevelType w:val="hybridMultilevel"/>
    <w:tmpl w:val="BFB28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B0771"/>
    <w:multiLevelType w:val="hybridMultilevel"/>
    <w:tmpl w:val="3956E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D2DF7"/>
    <w:multiLevelType w:val="hybridMultilevel"/>
    <w:tmpl w:val="1FAEDCF2"/>
    <w:lvl w:ilvl="0" w:tplc="7BD2C7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5FD2"/>
    <w:multiLevelType w:val="hybridMultilevel"/>
    <w:tmpl w:val="C5B2D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D47"/>
    <w:multiLevelType w:val="hybridMultilevel"/>
    <w:tmpl w:val="041867C2"/>
    <w:lvl w:ilvl="0" w:tplc="97F293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E7E41"/>
    <w:multiLevelType w:val="hybridMultilevel"/>
    <w:tmpl w:val="52563874"/>
    <w:lvl w:ilvl="0" w:tplc="24426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412F4"/>
    <w:multiLevelType w:val="hybridMultilevel"/>
    <w:tmpl w:val="9B720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920992">
    <w:abstractNumId w:val="6"/>
  </w:num>
  <w:num w:numId="2" w16cid:durableId="332415921">
    <w:abstractNumId w:val="3"/>
  </w:num>
  <w:num w:numId="3" w16cid:durableId="86468869">
    <w:abstractNumId w:val="4"/>
  </w:num>
  <w:num w:numId="4" w16cid:durableId="1247225890">
    <w:abstractNumId w:val="2"/>
  </w:num>
  <w:num w:numId="5" w16cid:durableId="83457626">
    <w:abstractNumId w:val="7"/>
  </w:num>
  <w:num w:numId="6" w16cid:durableId="1481574183">
    <w:abstractNumId w:val="5"/>
  </w:num>
  <w:num w:numId="7" w16cid:durableId="717053391">
    <w:abstractNumId w:val="0"/>
  </w:num>
  <w:num w:numId="8" w16cid:durableId="34722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efaultTabStop w:val="708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93"/>
    <w:rsid w:val="0000092C"/>
    <w:rsid w:val="00043EEA"/>
    <w:rsid w:val="0005562E"/>
    <w:rsid w:val="00062BE3"/>
    <w:rsid w:val="000650FA"/>
    <w:rsid w:val="00065812"/>
    <w:rsid w:val="00081AA6"/>
    <w:rsid w:val="00083947"/>
    <w:rsid w:val="00091D47"/>
    <w:rsid w:val="000C0AD7"/>
    <w:rsid w:val="000C4AB6"/>
    <w:rsid w:val="000F1B1F"/>
    <w:rsid w:val="001141BF"/>
    <w:rsid w:val="00166823"/>
    <w:rsid w:val="00176193"/>
    <w:rsid w:val="00185EC3"/>
    <w:rsid w:val="00194E09"/>
    <w:rsid w:val="001C68B3"/>
    <w:rsid w:val="001D2FD3"/>
    <w:rsid w:val="001D5FB8"/>
    <w:rsid w:val="001D60A8"/>
    <w:rsid w:val="001D71F5"/>
    <w:rsid w:val="001E0CB8"/>
    <w:rsid w:val="001F3B9D"/>
    <w:rsid w:val="0020693F"/>
    <w:rsid w:val="00215915"/>
    <w:rsid w:val="0024290C"/>
    <w:rsid w:val="00243B81"/>
    <w:rsid w:val="00245B4F"/>
    <w:rsid w:val="0024769D"/>
    <w:rsid w:val="0026205A"/>
    <w:rsid w:val="00271CEB"/>
    <w:rsid w:val="00283177"/>
    <w:rsid w:val="002C210C"/>
    <w:rsid w:val="002D7500"/>
    <w:rsid w:val="002E12A6"/>
    <w:rsid w:val="003105F0"/>
    <w:rsid w:val="00315CAC"/>
    <w:rsid w:val="00333DF6"/>
    <w:rsid w:val="0033666D"/>
    <w:rsid w:val="00346D32"/>
    <w:rsid w:val="00351874"/>
    <w:rsid w:val="00354818"/>
    <w:rsid w:val="00363C40"/>
    <w:rsid w:val="00371F12"/>
    <w:rsid w:val="003723AA"/>
    <w:rsid w:val="00380CA4"/>
    <w:rsid w:val="00386186"/>
    <w:rsid w:val="003A42D7"/>
    <w:rsid w:val="003A51FA"/>
    <w:rsid w:val="003C4149"/>
    <w:rsid w:val="003D0845"/>
    <w:rsid w:val="003D2ADF"/>
    <w:rsid w:val="003F5B3B"/>
    <w:rsid w:val="00413E43"/>
    <w:rsid w:val="00420CF9"/>
    <w:rsid w:val="00421090"/>
    <w:rsid w:val="00424E7F"/>
    <w:rsid w:val="00453A19"/>
    <w:rsid w:val="004540EE"/>
    <w:rsid w:val="00457151"/>
    <w:rsid w:val="00477BFD"/>
    <w:rsid w:val="004A7B75"/>
    <w:rsid w:val="004C14FE"/>
    <w:rsid w:val="004C5CC0"/>
    <w:rsid w:val="004D192E"/>
    <w:rsid w:val="004D4321"/>
    <w:rsid w:val="00501513"/>
    <w:rsid w:val="0050241D"/>
    <w:rsid w:val="00512144"/>
    <w:rsid w:val="005132B7"/>
    <w:rsid w:val="0055123C"/>
    <w:rsid w:val="00552737"/>
    <w:rsid w:val="005601EB"/>
    <w:rsid w:val="0056625D"/>
    <w:rsid w:val="00586BA4"/>
    <w:rsid w:val="0059579C"/>
    <w:rsid w:val="005A285F"/>
    <w:rsid w:val="005B68C6"/>
    <w:rsid w:val="005D3745"/>
    <w:rsid w:val="005D4416"/>
    <w:rsid w:val="005E06D3"/>
    <w:rsid w:val="005E337E"/>
    <w:rsid w:val="005F2E0E"/>
    <w:rsid w:val="005F3545"/>
    <w:rsid w:val="005F557C"/>
    <w:rsid w:val="005F7276"/>
    <w:rsid w:val="0060650B"/>
    <w:rsid w:val="00621312"/>
    <w:rsid w:val="00627710"/>
    <w:rsid w:val="006432A6"/>
    <w:rsid w:val="00692C7C"/>
    <w:rsid w:val="006A29D7"/>
    <w:rsid w:val="006A2CBB"/>
    <w:rsid w:val="006C3A15"/>
    <w:rsid w:val="006D70B3"/>
    <w:rsid w:val="006F1BFD"/>
    <w:rsid w:val="006F7CDC"/>
    <w:rsid w:val="00713743"/>
    <w:rsid w:val="0074353A"/>
    <w:rsid w:val="0075145E"/>
    <w:rsid w:val="00756ABE"/>
    <w:rsid w:val="00761B80"/>
    <w:rsid w:val="0077190D"/>
    <w:rsid w:val="007827EB"/>
    <w:rsid w:val="00783A6E"/>
    <w:rsid w:val="00785413"/>
    <w:rsid w:val="0079055B"/>
    <w:rsid w:val="007911AF"/>
    <w:rsid w:val="00792BE3"/>
    <w:rsid w:val="00793DC3"/>
    <w:rsid w:val="00796E39"/>
    <w:rsid w:val="007A3331"/>
    <w:rsid w:val="007A63D7"/>
    <w:rsid w:val="007B1031"/>
    <w:rsid w:val="007C267F"/>
    <w:rsid w:val="007D4828"/>
    <w:rsid w:val="007D5139"/>
    <w:rsid w:val="007E18DA"/>
    <w:rsid w:val="007E20C2"/>
    <w:rsid w:val="008147F9"/>
    <w:rsid w:val="0081691C"/>
    <w:rsid w:val="00817CE2"/>
    <w:rsid w:val="008222C8"/>
    <w:rsid w:val="00862740"/>
    <w:rsid w:val="0087039E"/>
    <w:rsid w:val="00871189"/>
    <w:rsid w:val="0088499D"/>
    <w:rsid w:val="008A37B6"/>
    <w:rsid w:val="008C4F9F"/>
    <w:rsid w:val="008D58ED"/>
    <w:rsid w:val="00912CE0"/>
    <w:rsid w:val="00914680"/>
    <w:rsid w:val="009167D9"/>
    <w:rsid w:val="009317AB"/>
    <w:rsid w:val="00932417"/>
    <w:rsid w:val="009415CB"/>
    <w:rsid w:val="009640D5"/>
    <w:rsid w:val="0097094A"/>
    <w:rsid w:val="00970B9F"/>
    <w:rsid w:val="009741FA"/>
    <w:rsid w:val="00974D77"/>
    <w:rsid w:val="0097629F"/>
    <w:rsid w:val="009919AC"/>
    <w:rsid w:val="00991ADF"/>
    <w:rsid w:val="009A29AF"/>
    <w:rsid w:val="009D56F3"/>
    <w:rsid w:val="009E4172"/>
    <w:rsid w:val="009F3CCD"/>
    <w:rsid w:val="00A130E4"/>
    <w:rsid w:val="00A141BB"/>
    <w:rsid w:val="00A441E6"/>
    <w:rsid w:val="00A65112"/>
    <w:rsid w:val="00A65757"/>
    <w:rsid w:val="00A71AB6"/>
    <w:rsid w:val="00A74893"/>
    <w:rsid w:val="00A7670A"/>
    <w:rsid w:val="00A96E36"/>
    <w:rsid w:val="00AB4E8D"/>
    <w:rsid w:val="00AB67FC"/>
    <w:rsid w:val="00AB7421"/>
    <w:rsid w:val="00AC4096"/>
    <w:rsid w:val="00AC4CFE"/>
    <w:rsid w:val="00AE5C92"/>
    <w:rsid w:val="00B377DC"/>
    <w:rsid w:val="00B40616"/>
    <w:rsid w:val="00B40F9F"/>
    <w:rsid w:val="00B5672D"/>
    <w:rsid w:val="00B574DE"/>
    <w:rsid w:val="00B865EE"/>
    <w:rsid w:val="00BA03D8"/>
    <w:rsid w:val="00BA3E47"/>
    <w:rsid w:val="00BD3A00"/>
    <w:rsid w:val="00BE1819"/>
    <w:rsid w:val="00BF75A3"/>
    <w:rsid w:val="00C12A47"/>
    <w:rsid w:val="00C13B56"/>
    <w:rsid w:val="00C20597"/>
    <w:rsid w:val="00C452C5"/>
    <w:rsid w:val="00C775BD"/>
    <w:rsid w:val="00C86036"/>
    <w:rsid w:val="00C90F55"/>
    <w:rsid w:val="00CA15DA"/>
    <w:rsid w:val="00CB376B"/>
    <w:rsid w:val="00CC15B1"/>
    <w:rsid w:val="00CC6B7E"/>
    <w:rsid w:val="00CF4E9F"/>
    <w:rsid w:val="00D1334B"/>
    <w:rsid w:val="00D15A18"/>
    <w:rsid w:val="00D22BA3"/>
    <w:rsid w:val="00D25BA2"/>
    <w:rsid w:val="00D306A6"/>
    <w:rsid w:val="00D34020"/>
    <w:rsid w:val="00D55769"/>
    <w:rsid w:val="00D55971"/>
    <w:rsid w:val="00D76978"/>
    <w:rsid w:val="00DB27D3"/>
    <w:rsid w:val="00DB5BAE"/>
    <w:rsid w:val="00DB618B"/>
    <w:rsid w:val="00DE0184"/>
    <w:rsid w:val="00E37EBB"/>
    <w:rsid w:val="00E622C0"/>
    <w:rsid w:val="00E768EB"/>
    <w:rsid w:val="00E954E8"/>
    <w:rsid w:val="00EA2125"/>
    <w:rsid w:val="00EA2C45"/>
    <w:rsid w:val="00EA47B1"/>
    <w:rsid w:val="00EE3CE4"/>
    <w:rsid w:val="00EE3FEB"/>
    <w:rsid w:val="00F04EA9"/>
    <w:rsid w:val="00F41371"/>
    <w:rsid w:val="00F72135"/>
    <w:rsid w:val="00F7251F"/>
    <w:rsid w:val="00F73653"/>
    <w:rsid w:val="00F73AC5"/>
    <w:rsid w:val="00F84ED8"/>
    <w:rsid w:val="00FA68A1"/>
    <w:rsid w:val="00FB3272"/>
    <w:rsid w:val="00FB6547"/>
    <w:rsid w:val="00FC3211"/>
    <w:rsid w:val="00FD31C9"/>
    <w:rsid w:val="00FD5427"/>
    <w:rsid w:val="00FE2836"/>
    <w:rsid w:val="00FE462E"/>
    <w:rsid w:val="00FE5E34"/>
    <w:rsid w:val="03D288CC"/>
    <w:rsid w:val="05EFAA69"/>
    <w:rsid w:val="06928CE0"/>
    <w:rsid w:val="069979A9"/>
    <w:rsid w:val="0740A3DE"/>
    <w:rsid w:val="08EA0339"/>
    <w:rsid w:val="093FBD8F"/>
    <w:rsid w:val="094F35E7"/>
    <w:rsid w:val="09C8B2B9"/>
    <w:rsid w:val="09EEDCE1"/>
    <w:rsid w:val="0C27DDA0"/>
    <w:rsid w:val="0DE63130"/>
    <w:rsid w:val="11220D58"/>
    <w:rsid w:val="138DAD31"/>
    <w:rsid w:val="14A31990"/>
    <w:rsid w:val="15B7BCCA"/>
    <w:rsid w:val="161EB69C"/>
    <w:rsid w:val="1B1122D0"/>
    <w:rsid w:val="1C2B601B"/>
    <w:rsid w:val="1E8D564B"/>
    <w:rsid w:val="1FF90224"/>
    <w:rsid w:val="20AADFA0"/>
    <w:rsid w:val="20F39812"/>
    <w:rsid w:val="2146210B"/>
    <w:rsid w:val="2369329A"/>
    <w:rsid w:val="23B50171"/>
    <w:rsid w:val="26B389A6"/>
    <w:rsid w:val="28D8F6FF"/>
    <w:rsid w:val="29992316"/>
    <w:rsid w:val="2C6BFF75"/>
    <w:rsid w:val="2C72E9BD"/>
    <w:rsid w:val="2F1576B0"/>
    <w:rsid w:val="30783C35"/>
    <w:rsid w:val="309E86BB"/>
    <w:rsid w:val="30B65742"/>
    <w:rsid w:val="316F06BD"/>
    <w:rsid w:val="32DE39A0"/>
    <w:rsid w:val="32E7ABEC"/>
    <w:rsid w:val="349C8BAC"/>
    <w:rsid w:val="34A68943"/>
    <w:rsid w:val="35044DC0"/>
    <w:rsid w:val="35C9358F"/>
    <w:rsid w:val="35EAF91E"/>
    <w:rsid w:val="3984208D"/>
    <w:rsid w:val="3AAA9C77"/>
    <w:rsid w:val="3B1873D5"/>
    <w:rsid w:val="3B7C92A6"/>
    <w:rsid w:val="3DA2C8C0"/>
    <w:rsid w:val="3E4CD772"/>
    <w:rsid w:val="3E879892"/>
    <w:rsid w:val="3EDEEC13"/>
    <w:rsid w:val="3EF5FCD5"/>
    <w:rsid w:val="3F095136"/>
    <w:rsid w:val="3F3F70A7"/>
    <w:rsid w:val="3FFA1676"/>
    <w:rsid w:val="410AD7BA"/>
    <w:rsid w:val="41A8BE7F"/>
    <w:rsid w:val="42C1469F"/>
    <w:rsid w:val="4417B5D3"/>
    <w:rsid w:val="47B040EA"/>
    <w:rsid w:val="482ECD16"/>
    <w:rsid w:val="484780F1"/>
    <w:rsid w:val="49011E6D"/>
    <w:rsid w:val="49549604"/>
    <w:rsid w:val="49EB4EF0"/>
    <w:rsid w:val="4A1B4D41"/>
    <w:rsid w:val="4BC2A85D"/>
    <w:rsid w:val="4BF7EDBB"/>
    <w:rsid w:val="4D7F4C92"/>
    <w:rsid w:val="4DB15B9B"/>
    <w:rsid w:val="4DEC3421"/>
    <w:rsid w:val="4F80BBE7"/>
    <w:rsid w:val="5051FBAD"/>
    <w:rsid w:val="51984EBD"/>
    <w:rsid w:val="51F80EDD"/>
    <w:rsid w:val="538C4D13"/>
    <w:rsid w:val="53FA2AD5"/>
    <w:rsid w:val="5518027C"/>
    <w:rsid w:val="55CE9F8C"/>
    <w:rsid w:val="57644DDF"/>
    <w:rsid w:val="59C7FC1A"/>
    <w:rsid w:val="5B71E69C"/>
    <w:rsid w:val="5D151F4C"/>
    <w:rsid w:val="5F0EBDC7"/>
    <w:rsid w:val="5FE3A88C"/>
    <w:rsid w:val="621DD40E"/>
    <w:rsid w:val="63591AD9"/>
    <w:rsid w:val="64C5C388"/>
    <w:rsid w:val="651C411B"/>
    <w:rsid w:val="69716275"/>
    <w:rsid w:val="69F9DBDC"/>
    <w:rsid w:val="6A3957CE"/>
    <w:rsid w:val="6AC08132"/>
    <w:rsid w:val="6B4E799F"/>
    <w:rsid w:val="6C2B3413"/>
    <w:rsid w:val="6C3A2D14"/>
    <w:rsid w:val="6D26F0D8"/>
    <w:rsid w:val="6DC5D5C0"/>
    <w:rsid w:val="6E144D40"/>
    <w:rsid w:val="6E680F2C"/>
    <w:rsid w:val="6EAF5793"/>
    <w:rsid w:val="7058969E"/>
    <w:rsid w:val="709CB9C1"/>
    <w:rsid w:val="70BA0F75"/>
    <w:rsid w:val="70DBAE15"/>
    <w:rsid w:val="742596A9"/>
    <w:rsid w:val="7429DFA5"/>
    <w:rsid w:val="75CA73EC"/>
    <w:rsid w:val="770FAF9B"/>
    <w:rsid w:val="7980D3DC"/>
    <w:rsid w:val="7C3F4C5A"/>
    <w:rsid w:val="7D94C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8C6BC5"/>
  <w15:chartTrackingRefBased/>
  <w15:docId w15:val="{589E5717-5459-4751-A782-904EBE48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6193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70B9F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59579C"/>
    <w:pPr>
      <w:spacing w:before="100" w:beforeAutospacing="1" w:after="100" w:afterAutospacing="1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06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E06D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06D3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6D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6D3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fontstyle01">
    <w:name w:val="fontstyle01"/>
    <w:basedOn w:val="Absatz-Standardschriftart"/>
    <w:rsid w:val="0035481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7629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43B8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E768EB"/>
    <w:pPr>
      <w:spacing w:before="100" w:beforeAutospacing="1" w:after="100" w:afterAutospacing="1" w:line="276" w:lineRule="auto"/>
    </w:pPr>
    <w:rPr>
      <w:rFonts w:ascii="Calibri" w:eastAsiaTheme="minorHAnsi" w:hAnsi="Calibri" w:cs="Calibri"/>
      <w:sz w:val="22"/>
      <w:szCs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76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76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PIText">
    <w:name w:val="PI Text"/>
    <w:basedOn w:val="Textkrper-Zeileneinzug"/>
    <w:link w:val="PITextZchn"/>
    <w:rsid w:val="0087039E"/>
    <w:pPr>
      <w:spacing w:after="0" w:line="360" w:lineRule="auto"/>
      <w:ind w:left="0" w:right="-2"/>
      <w:jc w:val="both"/>
    </w:pPr>
    <w:rPr>
      <w:rFonts w:ascii="Univers" w:hAnsi="Univers"/>
      <w:sz w:val="22"/>
    </w:rPr>
  </w:style>
  <w:style w:type="character" w:customStyle="1" w:styleId="PITextZchn">
    <w:name w:val="PI Text Zchn"/>
    <w:link w:val="PIText"/>
    <w:locked/>
    <w:rsid w:val="0087039E"/>
    <w:rPr>
      <w:rFonts w:ascii="Univers" w:eastAsia="Times New Roman" w:hAnsi="Univers" w:cs="Times New Roman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7039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7039E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E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5662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ldbeck.de" TargetMode="External"/><Relationship Id="rId18" Type="http://schemas.openxmlformats.org/officeDocument/2006/relationships/hyperlink" Target="https://www.xing.com/pages/goldbeckgmbh/new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tyles" Target="styles.xml"/><Relationship Id="rId12" Type="http://schemas.openxmlformats.org/officeDocument/2006/relationships/hyperlink" Target="mailto:presse@goldbeck.de" TargetMode="External"/><Relationship Id="rId17" Type="http://schemas.openxmlformats.org/officeDocument/2006/relationships/image" Target="media/image2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goldbeck_careers/" TargetMode="External"/><Relationship Id="rId20" Type="http://schemas.openxmlformats.org/officeDocument/2006/relationships/hyperlink" Target="https://www.linkedin.com/company/goldbeck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acebook.com/GOLDBECK.Group/" TargetMode="External"/><Relationship Id="rId22" Type="http://schemas.openxmlformats.org/officeDocument/2006/relationships/hyperlink" Target="https://www.youtube.com/c/goldbeck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01ADF1A99E99449271A86059E76F97" ma:contentTypeVersion="18" ma:contentTypeDescription="Ein neues Dokument erstellen." ma:contentTypeScope="" ma:versionID="57ac122199778c91826446aee4f3b2b2">
  <xsd:schema xmlns:xsd="http://www.w3.org/2001/XMLSchema" xmlns:xs="http://www.w3.org/2001/XMLSchema" xmlns:p="http://schemas.microsoft.com/office/2006/metadata/properties" xmlns:ns2="e62e81f3-7df6-478c-980e-4abd4998f52d" xmlns:ns3="658e0239-12fd-406b-9971-39c9f49cbea6" targetNamespace="http://schemas.microsoft.com/office/2006/metadata/properties" ma:root="true" ma:fieldsID="13e9b40a5bc1daba0808e3008ae32f14" ns2:_="" ns3:_="">
    <xsd:import namespace="e62e81f3-7df6-478c-980e-4abd4998f52d"/>
    <xsd:import namespace="658e0239-12fd-406b-9971-39c9f49cbe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e81f3-7df6-478c-980e-4abd4998f5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cfb40a3-4297-49f6-a07e-046f4c9e7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e0239-12fd-406b-9971-39c9f49cbea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f05c9c3-092e-4474-9d9a-9f1555540936}" ma:internalName="TaxCatchAll" ma:showField="CatchAllData" ma:web="658e0239-12fd-406b-9971-39c9f49cbe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e0239-12fd-406b-9971-39c9f49cbea6" xsi:nil="true"/>
    <lcf76f155ced4ddcb4097134ff3c332f xmlns="e62e81f3-7df6-478c-980e-4abd4998f5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2cfb40a3-4297-49f6-a07e-046f4c9e73eb" ContentTypeId="0x01" PreviousValue="false"/>
</file>

<file path=customXml/itemProps1.xml><?xml version="1.0" encoding="utf-8"?>
<ds:datastoreItem xmlns:ds="http://schemas.openxmlformats.org/officeDocument/2006/customXml" ds:itemID="{04231F45-906B-4994-BBE0-608BAF957BA8}"/>
</file>

<file path=customXml/itemProps2.xml><?xml version="1.0" encoding="utf-8"?>
<ds:datastoreItem xmlns:ds="http://schemas.openxmlformats.org/officeDocument/2006/customXml" ds:itemID="{7D96F09E-5669-4909-9439-BD5F47D2881A}">
  <ds:schemaRefs>
    <ds:schemaRef ds:uri="http://schemas.microsoft.com/office/2006/metadata/properties"/>
    <ds:schemaRef ds:uri="http://schemas.microsoft.com/office/infopath/2007/PartnerControls"/>
    <ds:schemaRef ds:uri="2f0014f7-865a-4939-a58f-811b62565a6d"/>
    <ds:schemaRef ds:uri="11b70a13-1dc2-4742-a7d3-c761ec7da8e4"/>
  </ds:schemaRefs>
</ds:datastoreItem>
</file>

<file path=customXml/itemProps3.xml><?xml version="1.0" encoding="utf-8"?>
<ds:datastoreItem xmlns:ds="http://schemas.openxmlformats.org/officeDocument/2006/customXml" ds:itemID="{870B5F65-280D-4825-A0C9-038894F6F4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718A17-CDB0-41CD-9444-45DED185CF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15401F-FE79-46E3-963A-0E3FDAE9A5F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2640</Characters>
  <Application>Microsoft Office Word</Application>
  <DocSecurity>2</DocSecurity>
  <Lines>22</Lines>
  <Paragraphs>6</Paragraphs>
  <ScaleCrop>false</ScaleCrop>
  <Company>Goldbeck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GOLDBECK Unternehmensportrait DE</dc:title>
  <dc:subject/>
  <dc:creator>Benndorf, Dietke</dc:creator>
  <cp:keywords/>
  <dc:description/>
  <cp:lastModifiedBy>Schulz, Mareike</cp:lastModifiedBy>
  <cp:revision>27</cp:revision>
  <cp:lastPrinted>2020-03-13T15:57:00Z</cp:lastPrinted>
  <dcterms:created xsi:type="dcterms:W3CDTF">2020-11-04T12:19:00Z</dcterms:created>
  <dcterms:modified xsi:type="dcterms:W3CDTF">2024-09-17T11:18:00Z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0x0101008901ADF1A99E99449271A86059E76F97</vt:lpwstr>
  </property>
  <property fmtid="{D5CDD505-2E9C-101B-9397-08002B2CF9AE}" pid="3" name="Dokumentart">
    <vt:lpwstr>95;#Vorlage/Muster|a4ca8c52-777e-414c-bd38-bda28e8a7694</vt:lpwstr>
  </property>
  <property fmtid="{D5CDD505-2E9C-101B-9397-08002B2CF9AE}" pid="4" name="Standort">
    <vt:lpwstr/>
  </property>
  <property fmtid="{D5CDD505-2E9C-101B-9397-08002B2CF9AE}" pid="5" name="BauteilEinbauort">
    <vt:lpwstr/>
  </property>
  <property fmtid="{D5CDD505-2E9C-101B-9397-08002B2CF9AE}" pid="6" name="Prozessbeteiligte">
    <vt:lpwstr/>
  </property>
  <property fmtid="{D5CDD505-2E9C-101B-9397-08002B2CF9AE}" pid="7" name="StrukturbaumWissen">
    <vt:lpwstr>9;#Wissenswertes für meinen Arbeitsalltag|41ad3862-7238-4918-80a8-5d855ffa8348;#114;#Unternehmenskommunikation|a6d8e1cb-cd2e-46a2-b835-406a17893e2b</vt:lpwstr>
  </property>
  <property fmtid="{D5CDD505-2E9C-101B-9397-08002B2CF9AE}" pid="8" name="BauphysikalischeAnforderungen">
    <vt:lpwstr/>
  </property>
  <property fmtid="{D5CDD505-2E9C-101B-9397-08002B2CF9AE}" pid="9" name="Hauptverantwortungen">
    <vt:lpwstr/>
  </property>
  <property fmtid="{D5CDD505-2E9C-101B-9397-08002B2CF9AE}" pid="10" name="ERP">
    <vt:lpwstr/>
  </property>
  <property fmtid="{D5CDD505-2E9C-101B-9397-08002B2CF9AE}" pid="11" name="StrukturbaumUnternehmen">
    <vt:lpwstr/>
  </property>
  <property fmtid="{D5CDD505-2E9C-101B-9397-08002B2CF9AE}" pid="12" name="Prozessschritte">
    <vt:lpwstr/>
  </property>
  <property fmtid="{D5CDD505-2E9C-101B-9397-08002B2CF9AE}" pid="13" name="Software">
    <vt:lpwstr/>
  </property>
  <property fmtid="{D5CDD505-2E9C-101B-9397-08002B2CF9AE}" pid="14" name="Anwendergruppen">
    <vt:lpwstr/>
  </property>
  <property fmtid="{D5CDD505-2E9C-101B-9397-08002B2CF9AE}" pid="15" name="ProdukteDienstleistungen">
    <vt:lpwstr/>
  </property>
  <property fmtid="{D5CDD505-2E9C-101B-9397-08002B2CF9AE}" pid="16" name="KonstruktionMaterialien">
    <vt:lpwstr/>
  </property>
  <property fmtid="{D5CDD505-2E9C-101B-9397-08002B2CF9AE}" pid="17" name="MediaServiceImageTags">
    <vt:lpwstr/>
  </property>
  <property fmtid="{D5CDD505-2E9C-101B-9397-08002B2CF9AE}" pid="18" name="Sprache">
    <vt:lpwstr/>
  </property>
</Properties>
</file>